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530533.xml.htm"/>
      <w:bookmarkStart w:id="1" w:name="kswkform4_17855305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Languille Camilla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STONE BREAK ROAD EXTENSION</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GLOBALFOUNDRIES Inc.</w:t>
              </w:r>
            </w:hyperlink>
            <w:r>
              <w:rPr/>
              <w:t xml:space="preserve"> [ </w:t>
            </w:r>
            <w:r>
              <w:rPr>
                <w:rFonts w:ascii="Times;serif" w:hAnsi="Times;serif"/>
                <w:color w:val="0000FF"/>
                <w:sz w:val="24"/>
                <w:shd w:fill="FFFFFF" w:val="clear"/>
              </w:rPr>
              <w:t>GFS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5"/>
        <w:gridCol w:w="774"/>
        <w:gridCol w:w="601"/>
        <w:gridCol w:w="348"/>
        <w:gridCol w:w="888"/>
        <w:gridCol w:w="453"/>
        <w:gridCol w:w="755"/>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8,526</w:t>
            </w:r>
            <w:r>
              <w:rPr>
                <w:rFonts w:ascii="Times;serif" w:hAnsi="Times;serif"/>
                <w:color w:val="008000"/>
                <w:position w:val="7"/>
                <w:sz w:val="16"/>
                <w:sz w:val="20"/>
                <w:shd w:fill="FFFFFF" w:val="clear"/>
              </w:rPr>
              <w:t>(1)(2)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1,671</w:t>
            </w:r>
            <w:r>
              <w:rPr>
                <w:rFonts w:ascii="Times;serif" w:hAnsi="Times;serif"/>
                <w:color w:val="008000"/>
                <w:position w:val="7"/>
                <w:sz w:val="16"/>
                <w:sz w:val="20"/>
                <w:shd w:fill="FFFFFF" w:val="clear"/>
              </w:rPr>
              <w:t>(3)</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49.02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7,559</w:t>
            </w:r>
            <w:r>
              <w:rPr>
                <w:rFonts w:ascii="Times;serif" w:hAnsi="Times;serif"/>
                <w:color w:val="008000"/>
                <w:position w:val="7"/>
                <w:sz w:val="16"/>
                <w:sz w:val="20"/>
                <w:shd w:fill="FFFFFF" w:val="clear"/>
              </w:rPr>
              <w:t>(1)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vesting and settlement of restricted stock units (RSUs) into 5,567 ordinary shares on July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8,526 RSUs, 5,235 of which vest on September 8, 2026, and 3,291 of which vest on July 28, 2027, subject to the reporting person's continued service through each such vesting date. Each RSU represents a contingent right to receive one share of the issuer's ordinary shares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withholding of shares by the issuer to satisfy the reporting person's tax withholding obligations in connection with the vesting and settlement of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Corsilles,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1953" TargetMode="External"/><Relationship Id="rId5" Type="http://schemas.openxmlformats.org/officeDocument/2006/relationships/hyperlink" Target="http://www.sec.gov/cgi-bin/browse-edgar?action=getcompany&amp;CIK=00017090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3623</Characters>
  <CharactersWithSpaces>4215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