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2"/>
          <w:shd w:fill="FFFFFF" w:val="clear"/>
        </w:rPr>
        <w:t>UNITED STATES</w:t>
        <w:br/>
        <w:t>SECURITIES AND EXCHANGE COMMISSION</w:t>
        <w:br/>
      </w:r>
      <w:r>
        <w:rPr>
          <w:rFonts w:ascii="Times New Roman;serif" w:hAnsi="Times New Roman;serif"/>
          <w:b w:val="false"/>
          <w:color w:val="000000"/>
          <w:sz w:val="20"/>
          <w:shd w:fill="FFFFFF" w:val="clear"/>
        </w:rPr>
        <w:t>Washington, D.C. 20549</w:t>
      </w:r>
      <w:r>
        <w:rPr>
          <w:color w:val="000000"/>
        </w:rPr>
        <w:t xml:space="preserve"> </w:t>
      </w:r>
    </w:p>
    <w:p>
      <w:pPr>
        <w:pStyle w:val="TextBody"/>
        <w:bidi w:val="0"/>
        <w:spacing w:lineRule="auto" w:line="333" w:before="4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6-K</w:t>
      </w:r>
    </w:p>
    <w:p>
      <w:pPr>
        <w:pStyle w:val="TextBody"/>
        <w:bidi w:val="0"/>
        <w:spacing w:lineRule="auto" w:line="333" w:before="240" w:after="240"/>
        <w:jc w:val="center"/>
        <w:rPr/>
      </w:pPr>
      <w:r>
        <w:rPr>
          <w:rFonts w:ascii="Georgia;serif" w:hAnsi="Georgia;serif"/>
          <w:b/>
          <w:color w:val="000000"/>
          <w:sz w:val="24"/>
          <w:shd w:fill="FFFFFF" w:val="clear"/>
        </w:rPr>
        <w:t xml:space="preserve">REPORT OF FOREIGN PRIVATE ISSUER PURSUANT TO RULE 13a-16 OR </w:t>
      </w:r>
      <w:r>
        <w:rPr>
          <w:rFonts w:ascii="Times New Roman;serif" w:hAnsi="Times New Roman;serif"/>
          <w:b/>
          <w:color w:val="000000"/>
          <w:sz w:val="24"/>
          <w:shd w:fill="FFFFFF" w:val="clear"/>
        </w:rPr>
        <w:t>15d-16 UNDER THE SECURITIES EXCHANGE ACT OF 1934</w:t>
      </w:r>
    </w:p>
    <w:p>
      <w:pPr>
        <w:pStyle w:val="TextBody"/>
        <w:bidi w:val="0"/>
        <w:spacing w:lineRule="auto" w:line="333" w:before="200" w:after="200"/>
        <w:jc w:val="center"/>
        <w:rPr/>
      </w:pPr>
      <w:r>
        <w:rPr>
          <w:rFonts w:ascii="Times New Roman;serif" w:hAnsi="Times New Roman;serif"/>
          <w:b w:val="false"/>
          <w:color w:val="000000"/>
          <w:sz w:val="20"/>
          <w:shd w:fill="FFFFFF" w:val="clear"/>
        </w:rPr>
        <w:t xml:space="preserve">For the month of </w:t>
      </w:r>
      <w:r>
        <w:rPr>
          <w:rFonts w:ascii="Times New Roman;serif" w:hAnsi="Times New Roman;serif"/>
          <w:b w:val="false"/>
          <w:color w:val="000000"/>
          <w:sz w:val="20"/>
        </w:rPr>
        <w:t>August 2026</w:t>
      </w:r>
    </w:p>
    <w:p>
      <w:pPr>
        <w:pStyle w:val="TextBody"/>
        <w:bidi w:val="0"/>
        <w:spacing w:lineRule="auto" w:line="333" w:before="20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 001-40974</w:t>
      </w:r>
    </w:p>
    <w:p>
      <w:pPr>
        <w:pStyle w:val="TextBody"/>
        <w:bidi w:val="0"/>
        <w:spacing w:lineRule="auto" w:line="333" w:before="320" w:after="3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GLOBALFOUNDRIES Inc.</w:t>
      </w:r>
    </w:p>
    <w:p>
      <w:pPr>
        <w:pStyle w:val="TextBody"/>
        <w:bidi w:val="0"/>
        <w:spacing w:lineRule="auto" w:line="333"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400 Stonebreak Road Extension</w:t>
      </w:r>
    </w:p>
    <w:p>
      <w:pPr>
        <w:pStyle w:val="TextBody"/>
        <w:bidi w:val="0"/>
        <w:spacing w:lineRule="auto" w:line="333"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Malta, NY 12020</w:t>
      </w:r>
    </w:p>
    <w:p>
      <w:pPr>
        <w:pStyle w:val="TextBody"/>
        <w:bidi w:val="0"/>
        <w:spacing w:lineRule="auto" w:line="333" w:before="200" w:after="20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files or will file annual reports under cover of Form 20-F or Form 40-F.</w:t>
      </w:r>
    </w:p>
    <w:p>
      <w:pPr>
        <w:pStyle w:val="TextBody"/>
        <w:bidi w:val="0"/>
        <w:spacing w:lineRule="auto" w:line="333" w:before="200" w:after="200"/>
        <w:jc w:val="left"/>
        <w:rPr/>
      </w:pPr>
      <w:r>
        <w:rPr>
          <w:color w:val="000000"/>
          <w:shd w:fill="FFFFFF" w:val="clear"/>
        </w:rPr>
        <w:t>    </w:t>
      </w:r>
      <w:r>
        <w:rPr>
          <w:rFonts w:ascii="Times New Roman;serif" w:hAnsi="Times New Roman;serif"/>
          <w:b w:val="false"/>
          <w:color w:val="000000"/>
          <w:sz w:val="20"/>
          <w:shd w:fill="FFFFFF" w:val="clear"/>
        </w:rPr>
        <w:t xml:space="preserve">Form 20-F </w:t>
      </w:r>
      <w:r>
        <w:rPr>
          <w:color w:val="000000"/>
          <w:shd w:fill="FFFFFF" w:val="clear"/>
        </w:rPr>
        <w:t>☒  </w:t>
      </w:r>
      <w:r>
        <w:rPr>
          <w:rFonts w:ascii="Times New Roman;serif" w:hAnsi="Times New Roman;serif"/>
          <w:b w:val="false"/>
          <w:color w:val="000000"/>
          <w:sz w:val="20"/>
          <w:shd w:fill="FFFFFF" w:val="clear"/>
        </w:rPr>
        <w:t xml:space="preserve">Form 40-F </w:t>
      </w:r>
      <w:r>
        <w:rPr>
          <w:color w:val="000000"/>
          <w:shd w:fill="FFFFFF" w:val="clear"/>
        </w:rPr>
        <w:t>☐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Other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August 21, 2026, GLOBALFOUNDRIES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entered into a revolving credit agreement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Company, GLOBALFOUNDRIES Singapore Pte. Ltd. and GLOBALFOUNDRIES U.S. Inc., as borrowing subsidiaries (the “Borrowing Subsidiaries”),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JPMorgan Chase Bank, N.A., as administrative agent (the "Administrative Agent"). The Credit Agreement provides for a senior unsecured revolving credit facility in an aggregate commitment amount of $1,500,000,000 (the “</w:t>
      </w:r>
      <w:r>
        <w:rPr>
          <w:rFonts w:ascii="Times New Roman;serif" w:hAnsi="Times New Roman;serif"/>
          <w:b w:val="false"/>
          <w:color w:val="000000"/>
          <w:sz w:val="22"/>
          <w:u w:val="single"/>
        </w:rPr>
        <w:t>Revolving Facility”</w:t>
      </w:r>
      <w:r>
        <w:rPr>
          <w:rFonts w:ascii="Times New Roman;serif" w:hAnsi="Times New Roman;serif"/>
          <w:b w:val="false"/>
          <w:color w:val="000000"/>
          <w:sz w:val="22"/>
        </w:rPr>
        <w:t>). Loans under the Revolving Facility may be denominated in U.S. Dollars or Euros. The Revolving Facility matures on August 21, 2031, subject to the Company's option to request up to two one-year extensions. Borrowings under the Revolving Facility are unsecured and will be used for general corporate purposes.</w:t>
      </w:r>
      <w:r>
        <w:rPr>
          <w:color w:val="000000"/>
        </w:rPr>
        <w:t xml:space="preserve"> </w:t>
      </w:r>
      <w:r>
        <w:rPr>
          <w:rFonts w:ascii="Times New Roman;serif" w:hAnsi="Times New Roman;serif"/>
          <w:b w:val="false"/>
          <w:color w:val="000000"/>
          <w:sz w:val="22"/>
        </w:rPr>
        <w:t xml:space="preserve">In addition, the Company provides an unconditional guarantee of all obligations of the Borrowing Subsidiaries under the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Loans denominated in U.S. Dollars under the Revolving Facility will bear interest at an annual rate of, at the applicable borrower's option, (a) the Adjusted Term SOFR Rate (as defined in the Credit Agreement) plus a ratings-based margin ranging from 1.000% to 1.625% or (b) the Alternate Base Rate (as defined in the Credit Agreement) plus a ratings-based margin ranging from 0.000% to 0.625%. Loans denominated in Euros will bear interest at an annual rate equal to the Adjusted EURIBOR Rate (as defined in the Credit Agreement) plus a ratings-based margin ranging from 1.000% to 1.625%. </w:t>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Credit Agreement contains customary affirmative and negative covenants, representations and warranties and events of default for transactions of this type. The Credit Agreement also requires the Company to maintain a maximum consolidated leverage ratio of 4.00 to 1.00 (with a step-up to 4.50 to 1.00 under certain circumstances).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On August 21, 2026, the Company also terminated its existing Revolving and L/C Facilities Agreement, dated as of October 18, 2019 (as amended to the date hereof), among the Company, the borrowers party thereto, the guarantors party thereto, the lenders party thereto and Citibank Europe plc, UK Branch, as facility agent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The Existing Credit Agreement provided for a revolving credit facility in an aggregate commitment amount of $1,000,000,000 and a letter of credit facility in an aggregate commitment amount of $20,000,000, each with a maturity date of October 13, 2026. As of the date of termination, no amounts were outstanding under the Existing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above description of the Credit Agreement is qualified in its entirety by reference to the full text thereof, a copy of which is expected to be filed as an exhibit to the Company’s Annual Report on Form 20-F for the year ending December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information contained in this Form 6-K is incorporated by reference into the Company’s Registration Statement on Form F-3, File No. 333-294214, and related Prospectuses, as such Registration Statement and Prospectuses may be amended from time to time.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8650"/>
                <wp:effectExtent l="0" t="0" r="0" b="0"/>
                <wp:wrapNone/>
                <wp:docPr id="2" name="Frame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6200" w:type="dxa"/>
        <w:jc w:val="left"/>
        <w:tblInd w:w="0" w:type="dxa"/>
        <w:tblLayout w:type="fixed"/>
        <w:tblCellMar>
          <w:top w:w="28" w:type="dxa"/>
          <w:left w:w="28" w:type="dxa"/>
          <w:bottom w:w="28" w:type="dxa"/>
          <w:right w:w="28" w:type="dxa"/>
        </w:tblCellMar>
      </w:tblPr>
      <w:tblGrid>
        <w:gridCol w:w="280"/>
        <w:gridCol w:w="246"/>
        <w:gridCol w:w="246"/>
        <w:gridCol w:w="246"/>
        <w:gridCol w:w="246"/>
        <w:gridCol w:w="246"/>
        <w:gridCol w:w="246"/>
        <w:gridCol w:w="246"/>
        <w:gridCol w:w="246"/>
        <w:gridCol w:w="327"/>
        <w:gridCol w:w="327"/>
        <w:gridCol w:w="327"/>
        <w:gridCol w:w="173"/>
        <w:gridCol w:w="173"/>
        <w:gridCol w:w="173"/>
        <w:gridCol w:w="173"/>
        <w:gridCol w:w="173"/>
        <w:gridCol w:w="173"/>
        <w:gridCol w:w="173"/>
        <w:gridCol w:w="173"/>
        <w:gridCol w:w="173"/>
        <w:gridCol w:w="173"/>
        <w:gridCol w:w="173"/>
        <w:gridCol w:w="173"/>
        <w:gridCol w:w="173"/>
        <w:gridCol w:w="173"/>
        <w:gridCol w:w="177"/>
        <w:gridCol w:w="109"/>
        <w:gridCol w:w="109"/>
        <w:gridCol w:w="154"/>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18"/>
            <w:tcBorders/>
            <w:tcMar>
              <w:top w:w="0" w:type="dxa"/>
              <w:left w:w="0" w:type="dxa"/>
              <w:bottom w:w="0" w:type="dxa"/>
              <w:right w:w="0" w:type="dxa"/>
            </w:tcMar>
            <w:vAlign w:val="center"/>
          </w:tcPr>
          <w:p>
            <w:pPr>
              <w:pStyle w:val="TableContents"/>
              <w:bidi w:val="0"/>
              <w:spacing w:lineRule="auto" w:line="288" w:before="0" w:after="0"/>
              <w:ind w:left="0" w:right="0" w:firstLine="270"/>
              <w:jc w:val="left"/>
              <w:rPr>
                <w:rFonts w:ascii="Times New Roman;serif" w:hAnsi="Times New Roman;serif"/>
                <w:b/>
                <w:color w:val="000000"/>
                <w:sz w:val="22"/>
              </w:rPr>
            </w:pPr>
            <w:r>
              <w:rPr>
                <w:rFonts w:ascii="Times New Roman;serif" w:hAnsi="Times New Roman;serif"/>
                <w:b/>
                <w:color w:val="000000"/>
                <w:sz w:val="22"/>
              </w:rPr>
              <w:t>GLOBALFOUNDRIES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27,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599"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599"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3"/>
              <w:jc w:val="left"/>
              <w:rPr>
                <w:rFonts w:ascii="Times New Roman;serif" w:hAnsi="Times New Roman;serif"/>
                <w:b w:val="false"/>
                <w:color w:val="000000"/>
                <w:sz w:val="22"/>
              </w:rPr>
            </w:pPr>
            <w:r>
              <w:rPr>
                <w:rFonts w:ascii="Times New Roman;serif" w:hAnsi="Times New Roman;serif"/>
                <w:b w:val="false"/>
                <w:color w:val="000000"/>
                <w:sz w:val="22"/>
              </w:rPr>
              <w:t>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6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9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606</Words>
  <Characters>3335</Characters>
  <CharactersWithSpaces>3928</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